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d653428763e64c19"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8377</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OSNOVNA ŠKOLA PETRA PRERADOVIĆA</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31</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XII 2025.</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3.137.376,77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3.419.633,58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109,0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3.116.550,78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3.654.171,62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117,3</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POSLOVANJA (šifre Z005-6)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234.538,04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37.442,89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34.341,49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91,7</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37.442,89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34.341,49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91,7</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16.616,90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268.879,53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1618,1</w:t>
            </w:r>
          </w:p>
        </w:tc>
      </w:tr>
    </w:tbl>
    <w:p>
      <w:pPr>
        <w:spacing w:before="0" w:after="0"/>
      </w:pPr>
    </w:p>
    <w:p>
      <w:r>
        <w:t xml:space="preserve">Navedeno stanje prikazuje manjak od 268.879,53 eura uslijed knjiženja plaće za 12/2025 gdje se plaća knjiži i prikazuje zadnjeg dana u mjesecu, dok se isplata knjiži na dan isplate, a kako je isplata idućeg mjeseca od obračuna, nastaje manjak za prihod koji se prikazuje danom isplate. Prikazani manjak će se pokriti knjiženjem nakon isplate plaće. </w:t>
      </w:r>
    </w:p>
    <w:p>
      <w:r>
        <w:br/>
      </w:r>
    </w:p>
    <w:p>
      <w:pPr>
        <w:jc w:val="center"/>
        <w:pStyle w:val="Normal"/>
        <w:spacing w:line="240" w:lineRule="auto"/>
        <w:keepNext/>
      </w:pPr>
      <w:r>
        <w:rPr>
          <w:b/>
          <w:sz w:val="28"/>
          <w:rFonts w:ascii="Times New Roman" w:hAnsi="Times New Roman"/>
        </w:rPr>
        <w:t xml:space="preserve">Bilanca</w:t>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IMOVINA (šifre B002+1)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B001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1.601.538,25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1.784.143,09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111,4</w:t>
            </w:r>
          </w:p>
        </w:tc>
      </w:tr>
    </w:tbl>
    <w:p>
      <w:pPr>
        <w:spacing w:before="0" w:after="0"/>
      </w:pPr>
    </w:p>
    <w:p>
      <w:r>
        <w:t xml:space="preserve">Razlika u stanju u odnosu na prethodno razdoblje je knjiženje darovane imovine i plaće za 12/2025, a koja mora biti prikazana na kontu 163610 Potraživanja za tekuće pomoći proračunskim korisnicima iz proračuna koji im nije nadležan. Isto će se zatvoriti kod isplate plaće u 1. mjesecu. </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I VLASTITI IZVORI (šifre 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B003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1.601.538,25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1.784.143,09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111,4</w:t>
            </w:r>
          </w:p>
        </w:tc>
      </w:tr>
    </w:tbl>
    <w:p>
      <w:pPr>
        <w:spacing w:before="0" w:after="0"/>
      </w:pPr>
    </w:p>
    <w:p>
      <w:r>
        <w:t xml:space="preserve">Razlika u stanju u odnosu na prethodno razdoblje je knjiženje darovane imovine i plaće za 12/2025, a koja mora biti prikazana na kontu 963610 Tekuće pomoći proračunskim korisnicima iz proračuna koji im nije nadležan. Isto će se zatvoriti kod isplate plaće u 1. mjesecu.</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Rezultat - višak/manjak (šifre 9221-9222)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-56.749,26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-325.628,79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573,8</w:t>
            </w:r>
          </w:p>
        </w:tc>
      </w:tr>
    </w:tbl>
    <w:p>
      <w:pPr>
        <w:spacing w:before="0" w:after="0"/>
      </w:pPr>
    </w:p>
    <w:p>
      <w:r>
        <w:t xml:space="preserve">Manjak je nastao novom shemom knjiženja za plaće, te neplaćenim dospijelim obvezama za rashode poslovanja. Navedeno će biti podmireno narednog mjeseca.</w:t>
      </w:r>
    </w:p>
    <w:p/>
    <w:p>
      <w:pPr>
        <w:jc w:val="center"/>
        <w:pStyle w:val="Normal"/>
        <w:spacing w:line="240" w:lineRule="auto"/>
        <w:keepNext/>
      </w:pPr>
      <w:r>
        <w:rPr>
          <w:b/>
          <w:sz w:val="28"/>
          <w:rFonts w:ascii="Times New Roman" w:hAnsi="Times New Roman"/>
        </w:rPr>
        <w:t xml:space="preserve">Izvještaj o rashodima prema funkcijskoj klasifikaciji</w:t>
      </w:r>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Osnovno obrazovanje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3.153.993,67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3.549.447,81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112,5</w:t>
            </w:r>
          </w:p>
        </w:tc>
      </w:tr>
    </w:tbl>
    <w:p>
      <w:pPr>
        <w:spacing w:before="0" w:after="0"/>
      </w:pPr>
    </w:p>
    <w:p>
      <w:r>
        <w:t xml:space="preserve">Ukupno stanje rashoda za 2025. godinu </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Dodatne usluge u obrazovanju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139.065,30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Iznos od 139.065,30 eura je iznos namirnica za prehranu učenika, ali pošto prehrana nije primarna osnovnoškolska djelatnost navedeni iznos je odvojen od primarne djelatnosti što je navedeno pod šifrom 0912 Osnovno obrazovanje.</w:t>
      </w:r>
    </w:p>
    <w:p/>
    <w:p>
      <w:pPr>
        <w:jc w:val="center"/>
        <w:pStyle w:val="Normal"/>
        <w:spacing w:line="240" w:lineRule="auto"/>
        <w:keepNext/>
      </w:pPr>
      <w:r>
        <w:rPr>
          <w:b/>
          <w:sz w:val="28"/>
          <w:rFonts w:ascii="Times New Roman" w:hAnsi="Times New Roman"/>
        </w:rPr>
        <w:t xml:space="preserve">Promjene u vrijednosti i obujmu imovine i obveza</w:t>
      </w:r>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9151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Promjene u vrijednosti i obujmu imovine (šifre 91511+91512)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3.520,74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110.342,46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3134,1</w:t>
            </w:r>
          </w:p>
        </w:tc>
      </w:tr>
    </w:tbl>
    <w:p>
      <w:pPr>
        <w:spacing w:before="0" w:after="0"/>
      </w:pPr>
    </w:p>
    <w:p>
      <w:r>
        <w:t xml:space="preserve">Navedeni iznos na 9151 je knjižen ispravak vrijednosti imovine za 2025. godinu.</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91512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Promjene u obujmu imovine (šifre P016+P023)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91512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3.520,74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Navedeno je iznos knjižen od darovane imovine.</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23.702,61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Stanje dospjelih obveza na kraju izvještajnog razdoblja u iznosu 23.702,61 eura postoji iz razloga neplaćenih računa uslijed nedostatka financijskih sredstava, a odnose se na prehranu, te pojedine račune za robu i usluge.  Nakon uplate potrebnih sredstava za besplatnu prehranu, koja se na račune škola uplaćuju krajem mjeseca, isti će biti podmireni naredni mjesec kao i ostali računi za robe i usluge.</w:t>
      </w:r>
    </w:p>
    <w:p/>
    <w:p>
      <w:pPr>
        <w:jc w:val="center"/>
        <w:pStyle w:val="Normal"/>
        <w:spacing w:line="240" w:lineRule="auto"/>
        <w:keepNext/>
      </w:pPr>
      <w:r>
        <w:rPr>
          <w:sz w:val="28"/>
          <w:rFonts w:ascii="Times New Roman" w:hAnsi="Times New Roman"/>
        </w:rPr>
        <w:t xml:space="preserve">Bilješka 10.</w:t>
      </w:r>
    </w:p>
    <w:p>
      <w:pPr>
        <w:jc w:val="both"/>
        <w:pStyle w:val="Normal"/>
        <w:spacing w:line="240" w:lineRule="auto"/>
      </w:pPr>
      <w:r>
        <w:rPr>
          <w:b/>
          <w:sz w:val="24"/>
          <w:rFonts w:ascii="Times New Roman" w:hAnsi="Times New Roman"/>
        </w:rPr>
        <w:t xml:space="preserve">EU izvještaj</w:t>
      </w:r>
    </w:p>
    <w:p>
      <w:r>
        <w:t xml:space="preserve">U Izvještaju o EU sredstvima stanje za 2025. godinu iznosi 48.470,90 eura prihoda od PUN dok rashodi iznose 50.764,43 eura. Odstupanje koje je vidljivo je razlog knjiženja plaće za 12. mjesec 2025. godine zadnjeg u mjesec, dok isplata i prihodi budu vidljivi naredni mjesec, te će se razlika pokriti. ERASMUS+ knjiži se po novome od 01.01.2025. godine na potraživanje i vlastiti račun, a radi se o prvoj isplati od APMEU od 80% ukupno ugovorenog iznosa. Stoga na prihodima nisu vidljiva sredstva već se biti vidljiva naknadno po završetku projekta ERASMUS+ i završnog izvještaja po završetku kad će biti uplaćen i ostatak od 20% sredstava iz projekta. Ukupno ugovoren iznos knjiži se na izvanbilanične zapise ( Potraživanja po ugovorima o dodijeljenim bespovratim sredstvima iz EU fondova).</w:t>
      </w:r>
      <w:r>
        <w:br/>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607b3a280dc44298" /></Relationships>
</file>